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A6" w:rsidRPr="009328F8" w:rsidRDefault="001561A6" w:rsidP="001561A6">
      <w:pPr>
        <w:spacing w:line="600" w:lineRule="exact"/>
        <w:jc w:val="left"/>
        <w:outlineLvl w:val="1"/>
        <w:rPr>
          <w:rFonts w:asciiTheme="minorEastAsia" w:eastAsiaTheme="minorEastAsia" w:hAnsiTheme="minorEastAsia"/>
          <w:color w:val="000000"/>
          <w:sz w:val="30"/>
          <w:szCs w:val="30"/>
        </w:rPr>
      </w:pPr>
      <w:r w:rsidRPr="009328F8">
        <w:rPr>
          <w:rFonts w:asciiTheme="minorEastAsia" w:eastAsiaTheme="minorEastAsia" w:hAnsiTheme="minorEastAsia"/>
          <w:color w:val="000000"/>
          <w:sz w:val="30"/>
          <w:szCs w:val="30"/>
        </w:rPr>
        <w:t>附件</w:t>
      </w:r>
      <w:r w:rsidRPr="009328F8">
        <w:rPr>
          <w:rFonts w:asciiTheme="minorEastAsia" w:eastAsiaTheme="minorEastAsia" w:hAnsiTheme="minorEastAsia" w:hint="eastAsia"/>
          <w:color w:val="000000"/>
          <w:sz w:val="30"/>
          <w:szCs w:val="30"/>
        </w:rPr>
        <w:t>2：</w:t>
      </w:r>
    </w:p>
    <w:p w:rsidR="001561A6" w:rsidRPr="009328F8" w:rsidRDefault="001561A6" w:rsidP="001561A6">
      <w:pPr>
        <w:spacing w:line="600" w:lineRule="exact"/>
        <w:jc w:val="center"/>
        <w:outlineLvl w:val="1"/>
        <w:rPr>
          <w:rFonts w:asciiTheme="minorEastAsia" w:eastAsiaTheme="minorEastAsia" w:hAnsiTheme="minorEastAsia"/>
          <w:color w:val="000000"/>
          <w:sz w:val="44"/>
          <w:szCs w:val="44"/>
        </w:rPr>
      </w:pPr>
      <w:r w:rsidRPr="009328F8">
        <w:rPr>
          <w:rFonts w:asciiTheme="minorEastAsia" w:eastAsiaTheme="minorEastAsia" w:hAnsiTheme="minorEastAsia"/>
          <w:color w:val="000000"/>
          <w:sz w:val="44"/>
          <w:szCs w:val="44"/>
        </w:rPr>
        <w:t>2021年度农业领域兵团科技攻关计划</w:t>
      </w:r>
    </w:p>
    <w:p w:rsidR="001561A6" w:rsidRPr="009328F8" w:rsidRDefault="001561A6" w:rsidP="001561A6">
      <w:pPr>
        <w:spacing w:line="600" w:lineRule="exact"/>
        <w:jc w:val="center"/>
        <w:outlineLvl w:val="1"/>
        <w:rPr>
          <w:rFonts w:asciiTheme="minorEastAsia" w:eastAsiaTheme="minorEastAsia" w:hAnsiTheme="minorEastAsia"/>
          <w:color w:val="000000"/>
          <w:sz w:val="44"/>
          <w:szCs w:val="44"/>
        </w:rPr>
      </w:pPr>
      <w:r w:rsidRPr="009328F8">
        <w:rPr>
          <w:rFonts w:asciiTheme="minorEastAsia" w:eastAsiaTheme="minorEastAsia" w:hAnsiTheme="minorEastAsia"/>
          <w:color w:val="000000"/>
          <w:sz w:val="44"/>
          <w:szCs w:val="44"/>
        </w:rPr>
        <w:t>项目申报指南</w:t>
      </w:r>
    </w:p>
    <w:p w:rsidR="001561A6" w:rsidRPr="009328F8" w:rsidRDefault="001561A6" w:rsidP="001561A6">
      <w:pPr>
        <w:autoSpaceDE w:val="0"/>
        <w:autoSpaceDN w:val="0"/>
        <w:adjustRightInd w:val="0"/>
        <w:spacing w:line="560" w:lineRule="exact"/>
        <w:ind w:firstLineChars="221" w:firstLine="972"/>
        <w:rPr>
          <w:rFonts w:asciiTheme="minorEastAsia" w:eastAsiaTheme="minorEastAsia" w:hAnsiTheme="minorEastAsia"/>
          <w:color w:val="000000"/>
          <w:sz w:val="44"/>
          <w:szCs w:val="44"/>
        </w:rPr>
      </w:pP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sz w:val="30"/>
          <w:szCs w:val="30"/>
        </w:rPr>
      </w:pPr>
      <w:r w:rsidRPr="009328F8">
        <w:rPr>
          <w:rFonts w:asciiTheme="minorEastAsia" w:eastAsiaTheme="minorEastAsia" w:hAnsiTheme="minorEastAsia"/>
          <w:color w:val="000000"/>
          <w:sz w:val="30"/>
          <w:szCs w:val="30"/>
        </w:rPr>
        <w:t>一、重点支持方向</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重点围绕现代农业发展需求，加强农业关键技术突破和成果转化应用，构建和完善现代农业产业技术体系，为兵团现代农业高效可持续发展提供科技支撑。</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1．农业种质创新、新品种选育及应用示范</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（1）种质创新与新品种选育。支持</w:t>
      </w:r>
      <w:r w:rsidRPr="009328F8">
        <w:rPr>
          <w:rFonts w:asciiTheme="minorEastAsia" w:eastAsiaTheme="minorEastAsia" w:hAnsiTheme="minorEastAsia"/>
          <w:color w:val="000000"/>
          <w:sz w:val="30"/>
          <w:szCs w:val="30"/>
        </w:rPr>
        <w:t>开展棉花、小麦、玉米、园艺等主要农作物、特色作物和特色草食家畜种质评价、创新和全基因组选择育种；重点支持开展生物信息技术、生物技术在育种上的应用研究，构建作物分子育种平台；开展乡土珍稀树种培育；采取产学研用合作模式，选育一批高效、抗虫抗病、耐旱节水、抗盐碱、管理简化的农作物新品种，开展新品种应用示范。</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（2）种子产业化关键技术与现代种业。重点支持兵团主要作物新品种规模化高效高产制（繁）种技术、种子（苗）规模化生产控制、采收及加工、储运等技术研究开发。</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2．农业提质增效与安全生产</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（1）农业提质增效关键技术研究。围绕种植业、园艺与设施农业、特色林果业、畜牧养殖业与水产业等优质、高效与安全生产，重点支持开展</w:t>
      </w:r>
      <w:r w:rsidRPr="009328F8">
        <w:rPr>
          <w:rFonts w:asciiTheme="minorEastAsia" w:eastAsiaTheme="minorEastAsia" w:hAnsiTheme="minorEastAsia" w:hint="eastAsia"/>
          <w:color w:val="FF0000"/>
          <w:kern w:val="0"/>
          <w:sz w:val="30"/>
          <w:szCs w:val="30"/>
        </w:rPr>
        <w:t>樱桃坐果、软籽石榴引种与栽培、香梨授粉等</w:t>
      </w:r>
      <w:r w:rsidRPr="009328F8">
        <w:rPr>
          <w:rFonts w:asciiTheme="minorEastAsia" w:eastAsiaTheme="minorEastAsia" w:hAnsiTheme="minorEastAsia" w:hint="eastAsia"/>
          <w:color w:val="000000"/>
          <w:kern w:val="0"/>
          <w:sz w:val="30"/>
          <w:szCs w:val="30"/>
        </w:rPr>
        <w:t>关键</w:t>
      </w:r>
      <w:r w:rsidRPr="009328F8">
        <w:rPr>
          <w:rFonts w:asciiTheme="minorEastAsia" w:eastAsiaTheme="minorEastAsia" w:hAnsiTheme="minorEastAsia"/>
          <w:color w:val="000000"/>
          <w:kern w:val="0"/>
          <w:sz w:val="30"/>
          <w:szCs w:val="30"/>
        </w:rPr>
        <w:t>技术研究开发与示范。支持开展农业信息化智能化与高效管理、水肥一体化与高</w:t>
      </w:r>
      <w:r w:rsidRPr="009328F8">
        <w:rPr>
          <w:rFonts w:asciiTheme="minorEastAsia" w:eastAsiaTheme="minorEastAsia" w:hAnsiTheme="minorEastAsia"/>
          <w:color w:val="000000"/>
          <w:kern w:val="0"/>
          <w:sz w:val="30"/>
          <w:szCs w:val="30"/>
        </w:rPr>
        <w:lastRenderedPageBreak/>
        <w:t>效利用、农艺农机融合、农产品精深加工、生物农业、农业新材料等高新技术和产品研究开发；支持开展边境团场特色农业产业提质增效研究。</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2）农产品安全生产关键技术研究。支持开展主要农作物、林果病虫害诊断、预警和农业可持续发展关键技术研究；支持开展畜禽水产养殖繁殖关键技术及机械化、信息化管理系统开发与应用；支持开展主要疫病新型诊断技术及新型疫苗、新型兽药研究与开发；支持开展农产品加工保质增效、贮藏物流等关键技术研究，特色乳肉食品研究开发，创建农产品优质安全生产综合技术体系和产业化开发模式。</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（3）生态环保型渔业养殖与优势鱼类开发。充分利用南疆盐碱水资源，支持开展以渔治碱、种养结合，改善南疆生态环境，为盐碱地、盐碱水的治理改造和开发利用提供新途径，促进南疆渔业高质量发展。</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3．农田生态安全防控与建设。以“减量、清洁、循环”和提高农业资源利用率为主线，支持开展盐碱地治理与耕地质量提升、可降解地膜、农田残膜回收综合再利用</w:t>
      </w:r>
      <w:r w:rsidRPr="009328F8">
        <w:rPr>
          <w:rFonts w:asciiTheme="minorEastAsia" w:eastAsiaTheme="minorEastAsia" w:hAnsiTheme="minorEastAsia"/>
          <w:color w:val="000000"/>
          <w:sz w:val="30"/>
          <w:szCs w:val="30"/>
        </w:rPr>
        <w:t>、</w:t>
      </w:r>
      <w:r w:rsidRPr="009328F8">
        <w:rPr>
          <w:rFonts w:asciiTheme="minorEastAsia" w:eastAsiaTheme="minorEastAsia" w:hAnsiTheme="minorEastAsia"/>
          <w:color w:val="000000"/>
          <w:kern w:val="0"/>
          <w:sz w:val="30"/>
          <w:szCs w:val="30"/>
        </w:rPr>
        <w:t>土壤面源污染治理与药肥减施、循环农业、非耕地资源化利用等关键技术研究与示范；支持开展农田外来入侵生物预警与防控研究，促进农业生态安全和农田可持续发展。</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4．区域灌溉用水过程优化及生态安全。以区域用水过程调控与生态安全协同发展为主线，支持开展不同土壤条件灌溉制度研究，构建不同分区的适宜灌溉模式；支持开展区域种植结构、作物耗水、灌溉面积、地下水位变化等要素动态识别研究，揭示区域地下水储量变化与灌溉用水、植被生长的区域时空关系；支持开展区域灌溉系统优化研究，提出面向多用水户的灌溉施肥系统方案。</w:t>
      </w:r>
    </w:p>
    <w:p w:rsidR="001561A6" w:rsidRPr="009328F8" w:rsidRDefault="001561A6" w:rsidP="009328F8">
      <w:pPr>
        <w:autoSpaceDE w:val="0"/>
        <w:autoSpaceDN w:val="0"/>
        <w:adjustRightInd w:val="0"/>
        <w:spacing w:line="56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lastRenderedPageBreak/>
        <w:t>二、申报要求</w:t>
      </w:r>
    </w:p>
    <w:p w:rsidR="001561A6" w:rsidRPr="009328F8" w:rsidRDefault="001561A6" w:rsidP="009328F8">
      <w:pPr>
        <w:autoSpaceDE w:val="0"/>
        <w:autoSpaceDN w:val="0"/>
        <w:adjustRightInd w:val="0"/>
        <w:spacing w:line="54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一）申报单位根据指南支持方向的研究内容以项目形式组织申报，根据项目不同特点可设任务（或课题）。申报项目应根据总体目标提出明确、可考核的约束性指标。项目申报单位推荐1名科研人员作为项目负责人，每个任务（或课题）设1名负责人，项目负责人可作为任务（或课题）负责人之一。</w:t>
      </w:r>
    </w:p>
    <w:p w:rsidR="001561A6" w:rsidRPr="009328F8" w:rsidRDefault="001561A6" w:rsidP="009328F8">
      <w:pPr>
        <w:autoSpaceDE w:val="0"/>
        <w:autoSpaceDN w:val="0"/>
        <w:adjustRightInd w:val="0"/>
        <w:spacing w:line="54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二）具有法人资格并具备科研开发能力和条件的兵团企事业单位均可牵头申报，申报项目需要有较强的科研团队作支撑，鼓励兵团外优势科研团队联合申报。同一个单位只能通过一个归口组织部门进行申报。不受理个人申报。</w:t>
      </w:r>
    </w:p>
    <w:p w:rsidR="001561A6" w:rsidRPr="009328F8" w:rsidRDefault="001561A6" w:rsidP="009328F8">
      <w:pPr>
        <w:autoSpaceDE w:val="0"/>
        <w:autoSpaceDN w:val="0"/>
        <w:adjustRightInd w:val="0"/>
        <w:spacing w:line="54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（三）项目实施期限原则上不超过3年，起始年度为2021年。</w:t>
      </w:r>
    </w:p>
    <w:p w:rsidR="001561A6" w:rsidRPr="009328F8" w:rsidRDefault="001561A6" w:rsidP="009328F8">
      <w:pPr>
        <w:autoSpaceDE w:val="0"/>
        <w:autoSpaceDN w:val="0"/>
        <w:adjustRightInd w:val="0"/>
        <w:spacing w:line="540" w:lineRule="exact"/>
        <w:ind w:firstLineChars="221" w:firstLine="663"/>
        <w:rPr>
          <w:rFonts w:asciiTheme="minorEastAsia" w:eastAsiaTheme="minorEastAsia" w:hAnsiTheme="minorEastAsia"/>
          <w:color w:val="000000"/>
          <w:kern w:val="0"/>
          <w:sz w:val="30"/>
          <w:szCs w:val="30"/>
        </w:rPr>
      </w:pPr>
      <w:r w:rsidRPr="009328F8">
        <w:rPr>
          <w:rFonts w:asciiTheme="minorEastAsia" w:eastAsiaTheme="minorEastAsia" w:hAnsiTheme="minorEastAsia"/>
          <w:color w:val="000000"/>
          <w:kern w:val="0"/>
          <w:sz w:val="30"/>
          <w:szCs w:val="30"/>
        </w:rPr>
        <w:t>（四）每个项目申请兵团财政资金额度300万元以下，企业牵头申报的项目（课题），企业自筹资金与申请兵团财政资金比例不低于2∶1，</w:t>
      </w:r>
      <w:r w:rsidRPr="009328F8">
        <w:rPr>
          <w:rFonts w:asciiTheme="minorEastAsia" w:eastAsiaTheme="minorEastAsia" w:hAnsiTheme="minorEastAsia"/>
          <w:color w:val="000000"/>
          <w:sz w:val="30"/>
          <w:szCs w:val="30"/>
        </w:rPr>
        <w:t>不能如实提供所承诺配套资金的</w:t>
      </w:r>
      <w:r w:rsidRPr="009328F8">
        <w:rPr>
          <w:rFonts w:asciiTheme="minorEastAsia" w:eastAsiaTheme="minorEastAsia" w:hAnsiTheme="minorEastAsia" w:hint="eastAsia"/>
          <w:color w:val="000000"/>
          <w:sz w:val="30"/>
          <w:szCs w:val="30"/>
        </w:rPr>
        <w:t>单位，</w:t>
      </w:r>
      <w:r w:rsidRPr="009328F8">
        <w:rPr>
          <w:rFonts w:asciiTheme="minorEastAsia" w:eastAsiaTheme="minorEastAsia" w:hAnsiTheme="minorEastAsia"/>
          <w:color w:val="000000"/>
          <w:sz w:val="30"/>
          <w:szCs w:val="30"/>
        </w:rPr>
        <w:t>一经发现将</w:t>
      </w:r>
      <w:r w:rsidRPr="009328F8">
        <w:rPr>
          <w:rFonts w:asciiTheme="minorEastAsia" w:eastAsiaTheme="minorEastAsia" w:hAnsiTheme="minorEastAsia" w:hint="eastAsia"/>
          <w:color w:val="000000"/>
          <w:sz w:val="30"/>
          <w:szCs w:val="30"/>
        </w:rPr>
        <w:t>作为考核其科研诚信的重要依据</w:t>
      </w:r>
      <w:r w:rsidRPr="009328F8">
        <w:rPr>
          <w:rFonts w:asciiTheme="minorEastAsia" w:eastAsiaTheme="minorEastAsia" w:hAnsiTheme="minorEastAsia"/>
          <w:color w:val="000000"/>
          <w:sz w:val="30"/>
          <w:szCs w:val="30"/>
        </w:rPr>
        <w:t>。</w:t>
      </w:r>
    </w:p>
    <w:p w:rsidR="001561A6" w:rsidRPr="009328F8" w:rsidRDefault="001561A6" w:rsidP="009328F8">
      <w:pPr>
        <w:autoSpaceDE w:val="0"/>
        <w:autoSpaceDN w:val="0"/>
        <w:adjustRightInd w:val="0"/>
        <w:spacing w:line="540" w:lineRule="exact"/>
        <w:ind w:firstLineChars="221" w:firstLine="663"/>
        <w:rPr>
          <w:rFonts w:asciiTheme="minorEastAsia" w:eastAsiaTheme="minorEastAsia" w:hAnsiTheme="minorEastAsia"/>
          <w:color w:val="000000"/>
          <w:sz w:val="30"/>
          <w:szCs w:val="30"/>
        </w:rPr>
      </w:pPr>
      <w:r w:rsidRPr="009328F8">
        <w:rPr>
          <w:rFonts w:asciiTheme="minorEastAsia" w:eastAsiaTheme="minorEastAsia" w:hAnsiTheme="minorEastAsia"/>
          <w:color w:val="000000"/>
          <w:kern w:val="0"/>
          <w:sz w:val="30"/>
          <w:szCs w:val="30"/>
        </w:rPr>
        <w:t>（五）申报项目需提交半年以内的查新报告及其他相关附件证明材料，详见申报书要求。</w:t>
      </w:r>
    </w:p>
    <w:p w:rsidR="001561A6" w:rsidRPr="009328F8" w:rsidRDefault="001561A6" w:rsidP="009328F8">
      <w:pPr>
        <w:pStyle w:val="a6"/>
        <w:adjustRightInd w:val="0"/>
        <w:spacing w:line="560" w:lineRule="exact"/>
        <w:ind w:firstLineChars="131" w:firstLine="393"/>
        <w:jc w:val="left"/>
        <w:rPr>
          <w:rFonts w:asciiTheme="minorEastAsia" w:eastAsiaTheme="minorEastAsia" w:hAnsiTheme="minorEastAsia"/>
          <w:color w:val="000000"/>
          <w:sz w:val="30"/>
          <w:szCs w:val="30"/>
        </w:rPr>
      </w:pPr>
    </w:p>
    <w:p w:rsidR="00FC6F7D" w:rsidRPr="009328F8" w:rsidRDefault="00FC6F7D">
      <w:pPr>
        <w:rPr>
          <w:rFonts w:asciiTheme="minorEastAsia" w:eastAsiaTheme="minorEastAsia" w:hAnsiTheme="minorEastAsia"/>
          <w:sz w:val="30"/>
          <w:szCs w:val="30"/>
        </w:rPr>
      </w:pPr>
    </w:p>
    <w:sectPr w:rsidR="00FC6F7D" w:rsidRPr="009328F8" w:rsidSect="003E4E3B">
      <w:footerReference w:type="even" r:id="rId6"/>
      <w:footerReference w:type="default" r:id="rId7"/>
      <w:headerReference w:type="first" r:id="rId8"/>
      <w:footerReference w:type="first" r:id="rId9"/>
      <w:pgSz w:w="11906" w:h="16838" w:code="9"/>
      <w:pgMar w:top="1701" w:right="1361" w:bottom="1474" w:left="1474" w:header="851" w:footer="1265"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A1" w:rsidRDefault="00D46EA1" w:rsidP="001561A6">
      <w:r>
        <w:separator/>
      </w:r>
    </w:p>
  </w:endnote>
  <w:endnote w:type="continuationSeparator" w:id="1">
    <w:p w:rsidR="00D46EA1" w:rsidRDefault="00D46EA1" w:rsidP="00156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EA" w:rsidRDefault="003E4E3B">
    <w:pPr>
      <w:pStyle w:val="a4"/>
      <w:framePr w:wrap="around" w:vAnchor="text" w:hAnchor="margin" w:xAlign="right" w:y="1"/>
      <w:rPr>
        <w:rStyle w:val="a5"/>
      </w:rPr>
    </w:pPr>
    <w:r>
      <w:rPr>
        <w:rStyle w:val="a5"/>
      </w:rPr>
      <w:fldChar w:fldCharType="begin"/>
    </w:r>
    <w:r w:rsidR="00FC6F7D">
      <w:rPr>
        <w:rStyle w:val="a5"/>
      </w:rPr>
      <w:instrText xml:space="preserve">PAGE  </w:instrText>
    </w:r>
    <w:r>
      <w:rPr>
        <w:rStyle w:val="a5"/>
      </w:rPr>
      <w:fldChar w:fldCharType="end"/>
    </w:r>
  </w:p>
  <w:p w:rsidR="008E3DEA" w:rsidRDefault="00D46EA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8E3DEA">
      <w:tc>
        <w:tcPr>
          <w:tcW w:w="9287" w:type="dxa"/>
        </w:tcPr>
        <w:p w:rsidR="008E3DEA" w:rsidRDefault="00FC6F7D">
          <w:pPr>
            <w:pStyle w:val="a4"/>
            <w:ind w:right="360"/>
            <w:jc w:val="center"/>
            <w:rPr>
              <w:rFonts w:ascii="方正楷体简体" w:eastAsia="方正楷体简体"/>
              <w:sz w:val="28"/>
              <w:szCs w:val="28"/>
            </w:rPr>
          </w:pPr>
          <w:r>
            <w:rPr>
              <w:rFonts w:ascii="方正楷体简体" w:eastAsia="方正楷体简体" w:hint="eastAsia"/>
              <w:sz w:val="28"/>
              <w:szCs w:val="28"/>
            </w:rPr>
            <w:t xml:space="preserve">- </w:t>
          </w:r>
          <w:r w:rsidR="003E4E3B" w:rsidRPr="001E2758">
            <w:rPr>
              <w:rStyle w:val="a5"/>
              <w:sz w:val="24"/>
              <w:szCs w:val="24"/>
            </w:rPr>
            <w:fldChar w:fldCharType="begin"/>
          </w:r>
          <w:r w:rsidRPr="001E2758">
            <w:rPr>
              <w:rStyle w:val="a5"/>
              <w:sz w:val="24"/>
              <w:szCs w:val="24"/>
            </w:rPr>
            <w:instrText xml:space="preserve"> PAGE </w:instrText>
          </w:r>
          <w:r w:rsidR="003E4E3B" w:rsidRPr="001E2758">
            <w:rPr>
              <w:rStyle w:val="a5"/>
              <w:sz w:val="24"/>
              <w:szCs w:val="24"/>
            </w:rPr>
            <w:fldChar w:fldCharType="separate"/>
          </w:r>
          <w:r w:rsidR="009328F8">
            <w:rPr>
              <w:rStyle w:val="a5"/>
              <w:noProof/>
              <w:sz w:val="24"/>
              <w:szCs w:val="24"/>
            </w:rPr>
            <w:t>2</w:t>
          </w:r>
          <w:r w:rsidR="003E4E3B" w:rsidRPr="001E2758">
            <w:rPr>
              <w:rStyle w:val="a5"/>
              <w:sz w:val="24"/>
              <w:szCs w:val="24"/>
            </w:rPr>
            <w:fldChar w:fldCharType="end"/>
          </w:r>
          <w:r w:rsidRPr="001E2758">
            <w:rPr>
              <w:rFonts w:ascii="方正楷体简体" w:eastAsia="方正楷体简体" w:hint="eastAsia"/>
              <w:sz w:val="24"/>
              <w:szCs w:val="24"/>
            </w:rPr>
            <w:t xml:space="preserve"> </w:t>
          </w:r>
          <w:r>
            <w:rPr>
              <w:rFonts w:ascii="方正楷体简体" w:eastAsia="方正楷体简体" w:hint="eastAsia"/>
              <w:sz w:val="28"/>
              <w:szCs w:val="28"/>
            </w:rPr>
            <w:t>-</w:t>
          </w:r>
        </w:p>
      </w:tc>
    </w:tr>
  </w:tbl>
  <w:p w:rsidR="008E3DEA" w:rsidRDefault="00D46E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auto"/>
      </w:tblBorders>
      <w:tblLook w:val="01E0"/>
    </w:tblPr>
    <w:tblGrid>
      <w:gridCol w:w="9287"/>
    </w:tblGrid>
    <w:tr w:rsidR="008E3DEA">
      <w:trPr>
        <w:trHeight w:val="136"/>
      </w:trPr>
      <w:tc>
        <w:tcPr>
          <w:tcW w:w="9287" w:type="dxa"/>
        </w:tcPr>
        <w:p w:rsidR="008E3DEA" w:rsidRDefault="00FC6F7D">
          <w:pPr>
            <w:pStyle w:val="a4"/>
            <w:wordWrap w:val="0"/>
            <w:jc w:val="right"/>
            <w:rPr>
              <w:rFonts w:ascii="方正楷体简体" w:eastAsia="方正楷体简体"/>
              <w:sz w:val="28"/>
              <w:szCs w:val="28"/>
            </w:rPr>
          </w:pPr>
          <w:r>
            <w:rPr>
              <w:rFonts w:ascii="方正楷体简体" w:eastAsia="方正楷体简体" w:hint="eastAsia"/>
              <w:sz w:val="28"/>
              <w:szCs w:val="28"/>
            </w:rPr>
            <w:t xml:space="preserve">共 </w:t>
          </w:r>
          <w:r w:rsidR="003E4E3B">
            <w:rPr>
              <w:rStyle w:val="a5"/>
              <w:rFonts w:eastAsia="方正楷体简体"/>
              <w:sz w:val="28"/>
              <w:szCs w:val="28"/>
            </w:rPr>
            <w:fldChar w:fldCharType="begin"/>
          </w:r>
          <w:r>
            <w:rPr>
              <w:rStyle w:val="a5"/>
              <w:rFonts w:eastAsia="方正楷体简体"/>
              <w:sz w:val="28"/>
              <w:szCs w:val="28"/>
            </w:rPr>
            <w:instrText xml:space="preserve"> NUMPAGES </w:instrText>
          </w:r>
          <w:r w:rsidR="003E4E3B">
            <w:rPr>
              <w:rStyle w:val="a5"/>
              <w:rFonts w:eastAsia="方正楷体简体"/>
              <w:sz w:val="28"/>
              <w:szCs w:val="28"/>
            </w:rPr>
            <w:fldChar w:fldCharType="separate"/>
          </w:r>
          <w:r w:rsidR="009328F8">
            <w:rPr>
              <w:rStyle w:val="a5"/>
              <w:rFonts w:eastAsia="方正楷体简体"/>
              <w:noProof/>
              <w:sz w:val="28"/>
              <w:szCs w:val="28"/>
            </w:rPr>
            <w:t>3</w:t>
          </w:r>
          <w:r w:rsidR="003E4E3B">
            <w:rPr>
              <w:rStyle w:val="a5"/>
              <w:rFonts w:eastAsia="方正楷体简体"/>
              <w:sz w:val="28"/>
              <w:szCs w:val="28"/>
            </w:rPr>
            <w:fldChar w:fldCharType="end"/>
          </w:r>
          <w:r>
            <w:rPr>
              <w:rFonts w:ascii="方正楷体简体" w:eastAsia="方正楷体简体" w:hint="eastAsia"/>
              <w:sz w:val="28"/>
              <w:szCs w:val="28"/>
            </w:rPr>
            <w:t xml:space="preserve"> 页</w:t>
          </w:r>
        </w:p>
      </w:tc>
    </w:tr>
  </w:tbl>
  <w:p w:rsidR="008E3DEA" w:rsidRDefault="00D46E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A1" w:rsidRDefault="00D46EA1" w:rsidP="001561A6">
      <w:r>
        <w:separator/>
      </w:r>
    </w:p>
  </w:footnote>
  <w:footnote w:type="continuationSeparator" w:id="1">
    <w:p w:rsidR="00D46EA1" w:rsidRDefault="00D46EA1" w:rsidP="00156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5A" w:rsidRDefault="00FC6F7D" w:rsidP="00FF5764">
    <w:pPr>
      <w:jc w:val="left"/>
    </w:pP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1A6"/>
    <w:rsid w:val="001561A6"/>
    <w:rsid w:val="003E4E3B"/>
    <w:rsid w:val="009328F8"/>
    <w:rsid w:val="00D46EA1"/>
    <w:rsid w:val="00FC6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561A6"/>
    <w:rPr>
      <w:sz w:val="18"/>
      <w:szCs w:val="18"/>
    </w:rPr>
  </w:style>
  <w:style w:type="paragraph" w:styleId="a4">
    <w:name w:val="footer"/>
    <w:basedOn w:val="a"/>
    <w:link w:val="Char0"/>
    <w:unhideWhenUsed/>
    <w:rsid w:val="00156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561A6"/>
    <w:rPr>
      <w:sz w:val="18"/>
      <w:szCs w:val="18"/>
    </w:rPr>
  </w:style>
  <w:style w:type="character" w:styleId="a5">
    <w:name w:val="page number"/>
    <w:basedOn w:val="a0"/>
    <w:rsid w:val="001561A6"/>
  </w:style>
  <w:style w:type="paragraph" w:styleId="a6">
    <w:name w:val="List Paragraph"/>
    <w:basedOn w:val="a"/>
    <w:uiPriority w:val="99"/>
    <w:qFormat/>
    <w:rsid w:val="001561A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1345</Characters>
  <Application>Microsoft Office Word</Application>
  <DocSecurity>0</DocSecurity>
  <Lines>11</Lines>
  <Paragraphs>3</Paragraphs>
  <ScaleCrop>false</ScaleCrop>
  <Company>HP</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2020-07-31T09:55:00Z</dcterms:created>
  <dcterms:modified xsi:type="dcterms:W3CDTF">2020-07-31T10:25:00Z</dcterms:modified>
</cp:coreProperties>
</file>