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045" w:type="dxa"/>
        <w:jc w:val="center"/>
        <w:tblLayout w:type="autofit"/>
        <w:tblCellMar>
          <w:top w:w="0" w:type="dxa"/>
          <w:left w:w="0" w:type="dxa"/>
          <w:bottom w:w="0" w:type="dxa"/>
          <w:right w:w="0" w:type="dxa"/>
        </w:tblCellMar>
      </w:tblPr>
      <w:tblGrid>
        <w:gridCol w:w="587"/>
        <w:gridCol w:w="1613"/>
        <w:gridCol w:w="6208"/>
        <w:gridCol w:w="1253"/>
        <w:gridCol w:w="2354"/>
        <w:gridCol w:w="1950"/>
        <w:gridCol w:w="1080"/>
      </w:tblGrid>
      <w:tr>
        <w:tblPrEx>
          <w:tblCellMar>
            <w:top w:w="0" w:type="dxa"/>
            <w:left w:w="0" w:type="dxa"/>
            <w:bottom w:w="0" w:type="dxa"/>
            <w:right w:w="0" w:type="dxa"/>
          </w:tblCellMar>
        </w:tblPrEx>
        <w:trPr>
          <w:trHeight w:val="1005" w:hRule="atLeast"/>
          <w:jc w:val="center"/>
        </w:trPr>
        <w:tc>
          <w:tcPr>
            <w:tcW w:w="15045"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b/>
                <w:i w:val="0"/>
                <w:color w:val="000000"/>
                <w:sz w:val="36"/>
                <w:szCs w:val="36"/>
                <w:u w:val="none"/>
              </w:rPr>
            </w:pPr>
            <w:r>
              <w:rPr>
                <w:rFonts w:hint="default" w:ascii="楷体_GB2312" w:hAnsi="宋体" w:eastAsia="楷体_GB2312" w:cs="楷体_GB2312"/>
                <w:b/>
                <w:i w:val="0"/>
                <w:color w:val="000000"/>
                <w:kern w:val="0"/>
                <w:sz w:val="44"/>
                <w:szCs w:val="44"/>
                <w:u w:val="none"/>
                <w:lang w:val="en-US" w:eastAsia="zh-CN" w:bidi="ar"/>
              </w:rPr>
              <w:t>2019年石河子大学</w:t>
            </w:r>
            <w:bookmarkStart w:id="0" w:name="_GoBack"/>
            <w:bookmarkEnd w:id="0"/>
            <w:r>
              <w:rPr>
                <w:rFonts w:hint="default" w:ascii="楷体_GB2312" w:hAnsi="宋体" w:eastAsia="楷体_GB2312" w:cs="楷体_GB2312"/>
                <w:b/>
                <w:i w:val="0"/>
                <w:color w:val="000000"/>
                <w:kern w:val="0"/>
                <w:sz w:val="44"/>
                <w:szCs w:val="44"/>
                <w:u w:val="none"/>
                <w:lang w:val="en-US" w:eastAsia="zh-CN" w:bidi="ar"/>
              </w:rPr>
              <w:t>高层次人才科研启动项目立项清单</w:t>
            </w:r>
          </w:p>
        </w:tc>
      </w:tr>
      <w:tr>
        <w:tblPrEx>
          <w:tblCellMar>
            <w:top w:w="0" w:type="dxa"/>
            <w:left w:w="0" w:type="dxa"/>
            <w:bottom w:w="0" w:type="dxa"/>
            <w:right w:w="0" w:type="dxa"/>
          </w:tblCellMar>
        </w:tblPrEx>
        <w:trPr>
          <w:trHeight w:val="78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30"/>
                <w:szCs w:val="30"/>
                <w:u w:val="none"/>
              </w:rPr>
            </w:pPr>
            <w:r>
              <w:rPr>
                <w:rFonts w:hint="default" w:ascii="楷体_GB2312" w:hAnsi="宋体" w:eastAsia="楷体_GB2312" w:cs="楷体_GB2312"/>
                <w:b/>
                <w:i w:val="0"/>
                <w:color w:val="000000"/>
                <w:kern w:val="0"/>
                <w:sz w:val="30"/>
                <w:szCs w:val="30"/>
                <w:u w:val="none"/>
                <w:lang w:val="en-US" w:eastAsia="zh-CN" w:bidi="ar"/>
              </w:rPr>
              <w:t>项目编号</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申请人</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申报单位</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研究年限</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 xml:space="preserve">资助总经费（万元）     </w:t>
            </w:r>
          </w:p>
        </w:tc>
      </w:tr>
      <w:tr>
        <w:tblPrEx>
          <w:tblCellMar>
            <w:top w:w="0" w:type="dxa"/>
            <w:left w:w="0" w:type="dxa"/>
            <w:bottom w:w="0" w:type="dxa"/>
            <w:right w:w="0" w:type="dxa"/>
          </w:tblCellMar>
        </w:tblPrEx>
        <w:trPr>
          <w:trHeight w:val="58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RCZK201901</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基于棉酚降解相关基因的热带假丝酵母遗传转化及应用</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陈程</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动物科技学院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60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RCZK201902</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生鲜乳中主要致病菌多重PCR方法的建立及其在规模化奶牛示范场中的应用</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李彦芳</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动物科技学院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RCZK201903</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硒化甘草多糖对雏鸡免疫抗炎及抗氧化活性影响</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连科迅</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动物科技学院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62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RCZK201904</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南疆规模化奶牛场牛群中催乳素基因多态性对产奶性状的遗传分析</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彭夏雨</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动物科技学院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RCZK201905</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棉花NF-YC转录因子促进早花的功能研究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曹爱萍</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生命科学学院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RCZK201906</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幽门螺杆菌治疗后复发与胃黏膜病变的关系</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张景玉</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RCZK201907</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新疆心脑血管疾病治疗费用核算和预测研究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李小菊</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RCZK201908</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新疆甘草内生菌的分离及内生菌生物学活性的研究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陆剑飞</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RCZK201909</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CO2、苯炔和（异）喹啉三组份反应研究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蔡志华</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化学化工学院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58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RCZK201910</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生物质基比率荧光碳点的一步法制备及其在重金属离子检测中的应用研究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张秀兰</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化学化工学院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RCZK201911</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以深共晶溶剂为冷冻铸造剂制备疏水多孔聚合物</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张海燕</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化学化工学院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58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RCZK201912</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咪唑盐-氨基酸配体促进的钯催化无导向基的芳烃C–H键氰基化反应</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卜庆青</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化学化工学院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RCZK201913</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改进西门子法多晶硅还原炉的CFD模拟</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陈良</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化学化工学院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RCZK201914</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基于仿生膜包覆的纳米核壳系统用于肿瘤治疗</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杨盛超</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化学化工学院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RCZK201915</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基于隐式建模的心脏几何结构重建研究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齐全</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信息科学与技术学院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RCZK201916</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新疆盐碱地水泥基材料的硫酸盐侵蚀机理及防治</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周阳</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水利建筑工程学院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RCZK201917</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南疆果园有机肥与无机肥混施技术装备的研制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蒙贺伟</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机械电气工程学院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RCZK201918</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新疆沙棘真空脉动干燥机理及品质研究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杨旭海</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机械电气工程学院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RCZK201919</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果胶分子诱导的糖基化鱼鳞明胶油-水界面的构建机制及其应用研究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郭筱兵</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RCZK201920</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基于信号放大的真菌毒素多组分可视化快速检测研究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孙凤霞</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RCZK201921</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白斑狗鱼肌肉蛋白磷酸化与肌肉品质的相关性分析</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朱新荣</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食品学院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RCZK201922</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缓冲层碳浓度影响GaN基 功率电子器件可靠性的机理研究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宋春燕</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RCZK201923</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中国天山区冰川生态调节服务功能研究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张正勇</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理学院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RCZK201924</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白星花金龟气味结合蛋白对寄主挥发物的结合特征</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赵洁</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RCZK201925</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加气灌溉强度对葡萄根系生长及根际微生物多样性的影响</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赵丰云</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RCZK201926</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外源可溶性有机物（DOM）与盐碱土的互馈效应研究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谢海霞</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RCZK201927</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双抑制剂调控干旱区农田土壤氮转化的微生物机制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刘涛</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RCZK201928</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绿洲盐渍化农田不同恢复模式改良效果研究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庞玮</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RCZK201929</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催熟剂对棉铃吐絮的影响及乙烯调控纤维发育的生理机制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田景山</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RCSK201901</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改革开放以来高中世界史教科书创伤性叙事研究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许芳</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师范学院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RCSK201902</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教育戍边功能的案例研究——基于对新疆兵团历史的考察</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郭学军</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师范学院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RCSK201903</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网络恐怖主义犯罪的形成机理及防控对策实证研究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张瑜</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政法学院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70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RCSK201904</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三权分置对边疆民族地区农户宅基地处置决策的影响机理与效应评价：基于改革试点伊宁市的经验分析</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王珍</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政法学院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RCSK201905</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“一带一路”背景下中南亚局势与新疆安全研究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段会平</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政法学院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72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RCSK201906</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汉语并列结构的词序制约因素研究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阿曼古丽·买买提</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文学艺术学院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RCSK201907</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兵团向南发展背景下的语言需求及服务对策</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苗德成</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文学艺术学院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CellMar>
            <w:top w:w="0" w:type="dxa"/>
            <w:left w:w="0" w:type="dxa"/>
            <w:bottom w:w="0" w:type="dxa"/>
            <w:right w:w="0" w:type="dxa"/>
          </w:tblCellMar>
        </w:tblPrEx>
        <w:trPr>
          <w:trHeight w:val="360" w:hRule="atLeast"/>
          <w:jc w:val="center"/>
        </w:trPr>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6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RCSK201908</w:t>
            </w:r>
          </w:p>
        </w:tc>
        <w:tc>
          <w:tcPr>
            <w:tcW w:w="6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新时代新疆经济发展方式转变问题研究</w:t>
            </w:r>
          </w:p>
        </w:tc>
        <w:tc>
          <w:tcPr>
            <w:tcW w:w="12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刘磊</w:t>
            </w:r>
          </w:p>
        </w:tc>
        <w:tc>
          <w:tcPr>
            <w:tcW w:w="23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经济与管理学院</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2020.06-2023.06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23419"/>
    <w:rsid w:val="72123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28"/>
      <w:szCs w:val="28"/>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2020-06-03T04:14:00Z</dcterms:created>
  <dc:creator>科研处-基地与平台郭</dc:creator>
  <cp:lastModifiedBy>科研处-基地与平台郭</cp:lastModifiedBy>
  <dcterms:modified xsi:type="dcterms:W3CDTF">2020-06-03T04:15:13Z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